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906" w:rsidRDefault="00437906" w:rsidP="00437906">
      <w:pPr>
        <w:shd w:val="clear" w:color="auto" w:fill="FFFFFF"/>
        <w:spacing w:before="120" w:after="120" w:line="240" w:lineRule="auto"/>
        <w:jc w:val="center"/>
        <w:outlineLvl w:val="1"/>
        <w:rPr>
          <w:rFonts w:eastAsia="Times New Roman" w:cs="Times New Roman"/>
          <w:b/>
          <w:bCs/>
          <w:color w:val="000000" w:themeColor="text1"/>
          <w:szCs w:val="28"/>
        </w:rPr>
      </w:pPr>
      <w:r w:rsidRPr="00437906">
        <w:rPr>
          <w:rFonts w:eastAsia="Times New Roman" w:cs="Times New Roman"/>
          <w:b/>
          <w:bCs/>
          <w:color w:val="000000" w:themeColor="text1"/>
          <w:szCs w:val="28"/>
        </w:rPr>
        <w:t xml:space="preserve">TÀI LIỆU </w:t>
      </w:r>
    </w:p>
    <w:p w:rsidR="00437906" w:rsidRPr="00437906" w:rsidRDefault="00437906" w:rsidP="00437906">
      <w:pPr>
        <w:shd w:val="clear" w:color="auto" w:fill="FFFFFF"/>
        <w:spacing w:before="120" w:after="120" w:line="240" w:lineRule="auto"/>
        <w:jc w:val="center"/>
        <w:outlineLvl w:val="1"/>
        <w:rPr>
          <w:b/>
          <w:bCs/>
          <w:iCs/>
          <w:lang w:val="da-DK"/>
        </w:rPr>
      </w:pPr>
      <w:r w:rsidRPr="00437906">
        <w:rPr>
          <w:b/>
          <w:lang w:val="da-DK"/>
        </w:rPr>
        <w:t>Bồi dưỡng, t</w:t>
      </w:r>
      <w:r w:rsidRPr="00437906">
        <w:rPr>
          <w:b/>
          <w:bCs/>
          <w:iCs/>
          <w:lang w:val="da-DK"/>
        </w:rPr>
        <w:t>ập huấn kỹ năng giải quyết khiếu nại, tố cáo</w:t>
      </w:r>
    </w:p>
    <w:p w:rsidR="00437906" w:rsidRPr="00437906" w:rsidRDefault="00437906" w:rsidP="00437906">
      <w:pPr>
        <w:shd w:val="clear" w:color="auto" w:fill="FFFFFF"/>
        <w:spacing w:before="120" w:after="120" w:line="240" w:lineRule="auto"/>
        <w:jc w:val="center"/>
        <w:outlineLvl w:val="1"/>
        <w:rPr>
          <w:rFonts w:eastAsia="Times New Roman" w:cs="Times New Roman"/>
          <w:b/>
          <w:bCs/>
          <w:color w:val="000000" w:themeColor="text1"/>
          <w:szCs w:val="28"/>
        </w:rPr>
      </w:pPr>
      <w:r w:rsidRPr="00437906">
        <w:rPr>
          <w:b/>
          <w:bCs/>
          <w:iCs/>
          <w:lang w:val="da-DK"/>
        </w:rPr>
        <w:t>---</w:t>
      </w:r>
      <w:bookmarkStart w:id="0" w:name="_GoBack"/>
      <w:bookmarkEnd w:id="0"/>
    </w:p>
    <w:p w:rsidR="00AC0D57" w:rsidRPr="00FA16C6" w:rsidRDefault="00FA16C6" w:rsidP="00437906">
      <w:pPr>
        <w:shd w:val="clear" w:color="auto" w:fill="FFFFFF"/>
        <w:spacing w:before="120" w:after="120" w:line="240" w:lineRule="auto"/>
        <w:ind w:firstLine="709"/>
        <w:jc w:val="both"/>
        <w:outlineLvl w:val="1"/>
        <w:rPr>
          <w:rFonts w:eastAsia="Times New Roman" w:cs="Times New Roman"/>
          <w:color w:val="000000" w:themeColor="text1"/>
          <w:szCs w:val="28"/>
        </w:rPr>
      </w:pPr>
      <w:r w:rsidRPr="00FA16C6">
        <w:rPr>
          <w:rFonts w:eastAsia="Times New Roman" w:cs="Times New Roman"/>
          <w:b/>
          <w:bCs/>
          <w:color w:val="000000" w:themeColor="text1"/>
          <w:szCs w:val="28"/>
        </w:rPr>
        <w:t>I. Đ</w:t>
      </w:r>
      <w:r w:rsidR="00437906">
        <w:rPr>
          <w:rFonts w:eastAsia="Times New Roman" w:cs="Times New Roman"/>
          <w:b/>
          <w:bCs/>
          <w:color w:val="000000" w:themeColor="text1"/>
          <w:szCs w:val="28"/>
        </w:rPr>
        <w:t>iểm mới Luật Tố cáo</w:t>
      </w:r>
      <w:r w:rsidR="00AC0D57" w:rsidRPr="00FA16C6">
        <w:rPr>
          <w:rFonts w:eastAsia="Times New Roman" w:cs="Times New Roman"/>
          <w:b/>
          <w:bCs/>
          <w:color w:val="000000" w:themeColor="text1"/>
          <w:szCs w:val="28"/>
        </w:rPr>
        <w:t xml:space="preserve"> sửa đổi tại Luật số 136/2025/QH15</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Quốc hội đã thông qua </w:t>
      </w:r>
      <w:hyperlink r:id="rId6" w:tgtFrame="_blank" w:history="1">
        <w:r w:rsidRPr="00FA16C6">
          <w:rPr>
            <w:rFonts w:eastAsia="Times New Roman" w:cs="Times New Roman"/>
            <w:color w:val="000000" w:themeColor="text1"/>
            <w:szCs w:val="28"/>
          </w:rPr>
          <w:t>Luật sửa đổi Luật Tiếp công dân, Luật Khiếu nại, Luật Tố cáo 2025</w:t>
        </w:r>
      </w:hyperlink>
      <w:r w:rsidRPr="00FA16C6">
        <w:rPr>
          <w:rFonts w:eastAsia="Times New Roman" w:cs="Times New Roman"/>
          <w:color w:val="000000" w:themeColor="text1"/>
          <w:szCs w:val="28"/>
        </w:rPr>
        <w:t> (Luật số 136/2025/QH15), có hiệu lực từ 01/07/2026.</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Theo đó, Chi tiết điểm mới khi sửa đổi, bổ sung Luật Tố cáo như sau:</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nguyên tắc xác định thẩm quyền giải quyết tố cáo: Luật bổ sung quy định về nguyên tắc xác định thẩm quyền giải quyết tố cáo trong một số trường hợp mà Luật Tố cáo chưa điều chỉnh. Theo đó, Bộ trưởng, người đứng đầu cơ quan ngang Bộ, Chủ tịch Ủy ban nhân dân cấp tỉnh xác định thẩm quyền giải quyết tố cáo đối với cơ quan, tổ chức, cán bộ, công chức, viên chức tại thời điểm có hành vi vi phạm thuộc thẩm quyền quản lý của mình mà không thuộc các trường hợp quy định tại khoản 3, khoản 4, khoản 5 và khoản 6 Điều 12 (khoản 7 Điều 12);</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thẩm quyền giải quyết tố cáo trong cơ quan hành chính nhà nước: để đồng bộ với Luật Tổ chức chính quyền địa phương, Luật sửa đổi, hoàn thiện thẩm quyền giải quyết tố cáo của Chủ tịch Ủy ban nhân dân cấp xã giải quyết tố cáo hành vi vi phạm pháp luật trong việc thực hiện nhiệm vụ, công vụ của người đứng đầu, cấp phó của người đứng đầu cơ quan chuyên môn thuộc Ủy ban nhân dân cấp xã, cán bộ, công chức, viên chức do mình quản lý trực tiếp; giải quyết tố cáo hành vi vi phạm pháp luật trong việc thực hiện nhiệm vụ, công vụ của cơ quan, tổ chức do Ủy ban nhân dân cấp xã quản lý trực tiếp (khoản 1 Điều 13); sửa đổi, hoàn thiện quy định về thẩm quyền giải quyết tố cáo tại khoản 3 Điều 13 là của Người đứng đầu cơ quan chuyên môn, tổ chức hành chính khác thuộc Ủy ban nhân dân cấp tỉnh; sửa đổi, hoàn thiện quy định về thẩm quyền giải quyết tố cáo của Chủ tịch Ủy ban nhân dân cấp tỉnh giải quyết tố cáo hành vi vi phạm pháp luật trong việc thực hiện nhiệm vụ, công vụ của Chủ tịch, Phó Chủ tịch Ủy ban nhân dân cấp xã, người đứng đầu, cấp phó của người đứng đầu cơ quan chuyên môn, tổ chức hành chính khác thuộc Ủy ban nhân dân cấp tỉnh, công chức do mình bổ nhiệm, quản lý trực tiếp (điểm a khoản 4 Điều 13).</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thẩm quyền giải quyết tố cáo hành vi vi phạm pháp luật trong việc thực hiện nhiệm vụ, công vụ trong Viện kiểm sát nhân dân: để đồng bộ với Luật  sửa đổi, bổ sung một số điều của Luật Tổ chức Viện kiểm sát nhân dân, Luật sửa đổi, hoàn thiện quy định về thẩm quyền giải quyết tố cáo của Viện trưởng Viện kiểm sát nhân dân khu vực Viện trưởng Viện kiểm sát nhân dân cấp tỉnh và Viện trưởng Viện kiểm sát nhân dân tối cao (Điều 15).</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xml:space="preserve">- Về thẩm quyền của Thủ tướng Chính phủ: để đảm bảo phù hợp, khả thi trong giải quyết tố cáo thuộc thẩm quyền của Thủ tướng Chính phủ, Luật bổ sung quy định “Căn cứ vào từng vụ việc cụ thể, Thủ tướng Chính phủ ủy quyền cho Tổng Thanh tra Chính phủ thụ lý tố cáo sau khi kiểm tra thấy đủ điều kiện thụ lý tố cáo; kết luận nội dung tố cáo và thông báo kết luận nội dung tố cáo sau khi Thủ </w:t>
      </w:r>
      <w:r w:rsidRPr="00FA16C6">
        <w:rPr>
          <w:rFonts w:eastAsia="Times New Roman" w:cs="Times New Roman"/>
          <w:color w:val="000000" w:themeColor="text1"/>
          <w:szCs w:val="28"/>
        </w:rPr>
        <w:lastRenderedPageBreak/>
        <w:t>tướng Chính phủ xem xét, cho ý kiến đối với báo cáo của Tổng Thanh tra Chính phủ về kết quả xác minh nội dung tố cáo.” (điểm c khoản 8 Điều 13).</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Để phù hợp với việc sắp xếp hệ thống cơ quan thanh tra, Luật bổ sung trách nhiệm của Thủ trưởng đơn vị được giao tham mưu giải quyết tố cáo tại các cơ quan quản lý nhà nước không có cơ quan thanh tra; bổ sung quy định Tổng Thanh tra Chính phủ thực hiện các nhiệm vụ được Thủ tướng Chính phủ ủy quyền nhằm đồng bộ với việc bổ sung quy định về ủy quyền Thủ tướng Chính phủ trong giải quyết tố cáo (điểm b khoản 2 Điều 32).</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Luật bổ sung quy định giao đơn vị tham mưu giải quyết tố cáo theo dõi, đôn đốc việc thực hiện kết luận nội dung tố cáo (khoản 3 Điều 44).</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Để thể chế hóa và đồng bộ với </w:t>
      </w:r>
      <w:hyperlink r:id="rId7" w:tgtFrame="_blank" w:history="1">
        <w:r w:rsidRPr="00FA16C6">
          <w:rPr>
            <w:rFonts w:eastAsia="Times New Roman" w:cs="Times New Roman"/>
            <w:color w:val="000000" w:themeColor="text1"/>
            <w:szCs w:val="28"/>
          </w:rPr>
          <w:t>Quy định 231-QĐ/TW</w:t>
        </w:r>
      </w:hyperlink>
      <w:r w:rsidRPr="00FA16C6">
        <w:rPr>
          <w:rFonts w:eastAsia="Times New Roman" w:cs="Times New Roman"/>
          <w:color w:val="000000" w:themeColor="text1"/>
          <w:szCs w:val="28"/>
        </w:rPr>
        <w:t> và pháp luật có liên quan, Luật bổ sung trường hợp chấm dứt bảo vệ khi người được bảo vệ cố ý không thực hiện nghĩa vụ quy định tại điểm a hoặc điểm b khoản 2 Điều 48 của Luật Tố cáo (điểm c khoản 2 Điều 54).</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 Luật sửa đổi, hoàn thiện quy định về rút tố cáo. Theo đó, việc rút tố cáo được thực hiện bằng đơn rút tố cáo hoặc biên bản ghi nhận ý kiến rút tố cáo của người tố cáo khi làm việc với người giải quyết tố cáo hoặc người xác minh nội dung tố cáo (khoản 1 Điều 33).</w:t>
      </w:r>
    </w:p>
    <w:p w:rsidR="00AC0D57" w:rsidRPr="00FA16C6" w:rsidRDefault="00AC0D57"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Để phù hợp với mô hình tổ chức chính quyền địa phương 02 cấp, Luật lược bỏ quy định về thẩm quyền giải quyết tố cáo hành vi vi phạm pháp luật trong việc thực hiện nhiệm vụ, công vụ trong cơ quan hành chính nhà nước của Chủ tịch Ủy ban nhân dân cấp huyện (khoản 2 Điều 13).</w:t>
      </w:r>
    </w:p>
    <w:p w:rsidR="00FA16C6" w:rsidRPr="00FA16C6" w:rsidRDefault="00FA16C6" w:rsidP="00437906">
      <w:pPr>
        <w:shd w:val="clear" w:color="auto" w:fill="FFFFFF"/>
        <w:spacing w:before="120" w:after="120" w:line="240" w:lineRule="auto"/>
        <w:ind w:firstLine="709"/>
        <w:jc w:val="both"/>
        <w:outlineLvl w:val="1"/>
        <w:rPr>
          <w:rFonts w:eastAsia="Times New Roman" w:cs="Times New Roman"/>
          <w:b/>
          <w:color w:val="000000" w:themeColor="text1"/>
          <w:szCs w:val="28"/>
        </w:rPr>
      </w:pPr>
      <w:r w:rsidRPr="00FA16C6">
        <w:rPr>
          <w:rFonts w:cs="Times New Roman"/>
          <w:color w:val="000000" w:themeColor="text1"/>
          <w:szCs w:val="28"/>
        </w:rPr>
        <w:tab/>
      </w:r>
      <w:r w:rsidRPr="00FA16C6">
        <w:rPr>
          <w:rFonts w:cs="Times New Roman"/>
          <w:b/>
          <w:color w:val="000000" w:themeColor="text1"/>
          <w:szCs w:val="28"/>
        </w:rPr>
        <w:t>III. Đ</w:t>
      </w:r>
      <w:r w:rsidRPr="00FA16C6">
        <w:rPr>
          <w:rFonts w:eastAsia="Times New Roman" w:cs="Times New Roman"/>
          <w:b/>
          <w:bCs/>
          <w:color w:val="000000" w:themeColor="text1"/>
          <w:szCs w:val="28"/>
        </w:rPr>
        <w:t>iểm mới Luật Khiếu nại sửa đổi tại Luật số 136/2025/QH15</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Quốc hội đã thông qua </w:t>
      </w:r>
      <w:hyperlink r:id="rId8" w:tgtFrame="_blank" w:history="1">
        <w:r w:rsidRPr="00FA16C6">
          <w:rPr>
            <w:rFonts w:eastAsia="Times New Roman" w:cs="Times New Roman"/>
            <w:color w:val="000000" w:themeColor="text1"/>
            <w:szCs w:val="28"/>
          </w:rPr>
          <w:t>Luật sửa đổi Luật Tiếp công dân, Luật Khiếu nại, Luật Tố cáo 2025</w:t>
        </w:r>
      </w:hyperlink>
      <w:r w:rsidRPr="00FA16C6">
        <w:rPr>
          <w:rFonts w:eastAsia="Times New Roman" w:cs="Times New Roman"/>
          <w:color w:val="000000" w:themeColor="text1"/>
          <w:szCs w:val="28"/>
        </w:rPr>
        <w:t> (Luật số 136/2025/QH15), có hiệu lực từ 01/07/2026.</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Theo đó, Chi tiết điểm mới khi sửa đổi, bổ sung Luật Khiếu nại như sau:</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chủ thể khiếu nại: khoản 1 Điều 30 của Hiến pháp năm 2013 (sửa đổi năm 2025) quy định “Mọi người có quyền khiếu nại, tố cáo với cơ quan, tổ chức, cá nhân có thẩm quyền về những việc làm trái pháp luật của cơ quan, tổ chức, cá nhân.”. Do đó, Luật sửa đổi quy định về chủ thể thực hiện quyền khiếu nại từ “công dân” thành “cá nhân” (khoản 1, khoản 2 Điều 2), đồng thời sửa đổi người có quyền, lợi ích hợp pháp do hành vi vi phạm pháp luật về khiếu nại gây thiệt hại từ “công dân” thành “cá nhân” tại khoản 2 Điều 24.</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xml:space="preserve">- Về tạm đình chỉ, đình chỉ giải quyết khiếu nại: trong thực tiễn, việc giải quyết khiếu nại có thể phải tạm dừng hoặc chấm dứt do các tình huống phát sinh như: sự kiện bất khả kháng hoặc trở ngại khách quan mà người khiếu nại không thể tiếp tục tham gia quá trình giải quyết khiếu nại; cần chờ kết quả giải quyết của cơ quan, tổ chức, cá nhân có thẩm quyền về vấn đề có liên quan trực tiếp đến nội dung khiếu nại; người khiếu nại rút toàn bộ khiếu nại; người khiếu nại chết mà quyền và nghĩa vụ liên quan đến nội dung khiếu nại không được thừa kế hoặc cơ quan, tổ </w:t>
      </w:r>
      <w:r w:rsidRPr="00FA16C6">
        <w:rPr>
          <w:rFonts w:eastAsia="Times New Roman" w:cs="Times New Roman"/>
          <w:color w:val="000000" w:themeColor="text1"/>
          <w:szCs w:val="28"/>
        </w:rPr>
        <w:lastRenderedPageBreak/>
        <w:t>chức khiếu nại giải thể, phá sản hoặc kết thúc hoạt động mà quyền và nghĩa vụ liên quan đến nội dung khiếu nại không được kế thừa; vụ việc không còn đối tượng hoặc nội dung để giải quyết; vụ việc đã được Tòa án thụ lý hoặc giải quyết bằng bản án, quyết định có hiệu lực. Do đó, Luật bổ sung Điều 11a quy định các trường hợp tạm đình chỉ, đình chỉ giải quyết khiếu nại. Việc tạm đình chỉ, đình chỉ được thực hiện bằng quyết định của người có thẩm quyền, nêu rõ lý do và căn cứ pháp luật, gửi cho người khiếu nại, người bị khiếu nại và cơ quan, tổ chức, cá nhân liên quan. Khi căn cứ tạm đình chỉ không còn thì người giải quyết khiếu nại tiếp tục giải quyết khiếu nại và thông báo cho các bên liên quan; thời gian tạm đình chỉ không tính vào thời hạn giải quyết khiếu nại.</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Để thống nhất với việc bổ sung thẩm quyền tạm đình chỉ, đình chỉ giải quyết khiếu nại của người giải quyết khiếu nại tại Điều 11a, Luật bổ sung quyền của người khiếu nại được nhận quyết định tạm đình chỉ, đình chỉ giải quyết khiếu nại (điểm h khoản 1 Điều 12) để đảm bảo chặt chẽ và bảo vệ quyền của người khiếu nại.</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rút khiếu nại: để đáp ứng yêu cầu thực tiễn giải quyết khiếu nại, Luật bổ sung quy định người khiếu nại có thể rút một phần nội dung khiếu nại; người khiếu nại có thể rút khiếu nại bằng biên bản ghi nhận ý kiến rút khiếu nại của người khiếu nại khi làm việc với người giải quyết khiếu nại hoặc người xác minh nội dung khiếu nại (khoản 1 Điều 10). Trường hợp người khiếu nại rút một phần nội dung khiếu nại thì nội dung khiếu nại còn lại được tiếp tục giải quyết theo quy định (khoản 2 Điều 10). Nội dung khiếu nại đã rút sẽ không được xem xét, giải quyết lại, trừ trường hợp có căn cứ xác định người khiếu nại rút khiếu nại là do bị ép buộc, đe dọa (khoản 3 Điều 10).</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Đồng bộ với quy định về rút khiếu nại đã được sửa đổi tại Điều 10, Luật đã sửa đổi nội dung giải thích từ ngữ đối với cụm từ “Rút khiếu nại” tại khoản 3 Điều 2. Theo đó, rút khiếu nại là việc người khiếu nại đề nghị cơ quan, tổ chức, cá nhân có thẩm quyền chấm dứt một phần hoặc toàn bộ nội dung khiếu nại của mình.</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quyền của người giải quyết khiếu nại lần hai: Luật bổ sung quyền của người giải quyết khiếu nại lần hai được tham khảo ý kiến của cơ quan, tổ chức, cá nhân có chuyên môn phù hợp khi thấy cần thiết (điểm đ khoản 1 Điều 15) ngoài việc tham khảo ý kiến của Hội đồng tư vấn để đảm bảo tính chính xác trong việc giải quyết khiếu nại.</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xml:space="preserve">- Về thẩm quyền giải quyết khiếu nại: để đồng bộ với Luật Tổ chức chính quyền địa phương, Luật sửa đổi, hoàn thiện thẩm quyền của Chủ tịch Ủy ban nhân dân cấp xã giải quyết khiếu nại lần đầu đối với quyết định hành chính, hành vi hành chính của mình, của người đứng đầu cơ quan chuyên môn, tổ chức hành chính khác thuộc Ủy ban nhân dân cấp xã, của công chức, viên chức do mình quản lý trực tiếp (Điều 17); sửa đổi, hoàn thiện thẩm quyền của Chủ tịch Ủy ban nhân dân cấp tỉnh giải quyết khiếu nại lần hai đối với quyết định hành chính, hành vi hành chính của Chủ tịch Ủy ban nhân dân cấp xã, Thủ trưởng cơ quan chuyên môn, tổ chức hành chính khác thuộc Ủy ban nhân dân cấp tỉnh đã giải quyết lần đầu nhưng còn khiếu </w:t>
      </w:r>
      <w:r w:rsidRPr="00FA16C6">
        <w:rPr>
          <w:rFonts w:eastAsia="Times New Roman" w:cs="Times New Roman"/>
          <w:color w:val="000000" w:themeColor="text1"/>
          <w:szCs w:val="28"/>
        </w:rPr>
        <w:lastRenderedPageBreak/>
        <w:t>nại hoặc khiếu nại lần đầu đã hết thời hạn nhưng chưa được giải quyết (khoản 2 Điều 21).</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đối thoại trong giải quyết khiếu nại: Trong thực tế, có trường hợp người khiếu nại không tham gia đối thoại khi được mời. Điều này gây khó khăn cho việc giải quyết khiếu nại và không có cơ sở pháp lý để tiếp tục giải quyết hay tạm dừng việc giải quyết. Do vậy, Luật bổ sung quy định trường hợp người khiếu nại được mời nhưng không tham gia đối thoại mà không có lý do chính đáng thì người giải quyết khiếu nại vẫn tiếp tục giải quyết khiếu nại (khoản 6 Điều 30) đồng thời giao Chính phủ quy định chi tiết khoản này.</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Về đơn vị được giao tham mưu giải quyết khiếu nại, giúp Thủ trưởng cơ quan quản lý nhà nước cùng cấp quản lý công tác giải quyết khiếu nại: để phù hợp với việc sắp xếp hệ thống cơ quan thanh tra, Luật bổ sung trách nhiệm của Thủ trưởng đơn vị được giao tham mưu giải quyết khiếu nại tại các cơ quan quản lý nhà nước không có cơ quan thanh tra (Điều 25); sửa đổi, hoàn thiện quy định các Bộ, cơ quan ngang Bộ không có Thanh tra Bộ, cơ quan chuyên môn thuộc Ủy ban nhân dân cấp tỉnh, Ủy ban nhân dân cấp xã thì đơn vị được giao tham mưu giải quyết khiếu nại giúp Thủ trưởng cơ quan quản lý nhà nước cùng cấp quản lý công tác giải quyết khiếu nại (khoản 3 Điều 63).</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Liên quan đến việc giải quyết khiếu nại lần hai, Luật sửa đổi, hoàn thiện quy định trường hợp khiếu nại lần hai thì người khiếu nại gửi kèm theo quyết định giải quyết khiếu nại lần đầu (nếu có) tại khoản 1 Điều 33; bổ sung quy định trong quyết định giải quyết khiếu nại lần hai có nội dung kết quả giải quyết khiếu nại lần đầu (điểm c khoản 1 Điều 56).</w:t>
      </w: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r w:rsidRPr="00FA16C6">
        <w:rPr>
          <w:rFonts w:eastAsia="Times New Roman" w:cs="Times New Roman"/>
          <w:color w:val="000000" w:themeColor="text1"/>
          <w:szCs w:val="28"/>
        </w:rPr>
        <w:t>- Do Chương V của Luật Khiếu nại đã hết hiệu lực kể từ ngày 01/7/2014 theo quy định tại Điều 35 Luật Tiếp công dân năm 2014, vì vậy, Luật đã chỉnh sửa, hoàn thiện quy định tại điểm a khoản 4 và khoản 5 Điều 8 cho chính xác. Theo đó, việc tiếp nhiều người cùng khiếu nại về một nội dung được thực hiện theo quy định tại Luật Tiếp công dân.</w:t>
      </w:r>
    </w:p>
    <w:p w:rsidR="00FA16C6" w:rsidRPr="00FA16C6" w:rsidRDefault="00FA16C6" w:rsidP="00437906">
      <w:pPr>
        <w:shd w:val="clear" w:color="auto" w:fill="FFFFFF"/>
        <w:spacing w:before="120" w:after="120" w:line="240" w:lineRule="auto"/>
        <w:ind w:firstLine="709"/>
        <w:jc w:val="both"/>
        <w:rPr>
          <w:rFonts w:cs="Times New Roman"/>
          <w:color w:val="000000" w:themeColor="text1"/>
          <w:szCs w:val="28"/>
        </w:rPr>
      </w:pPr>
      <w:r w:rsidRPr="00FA16C6">
        <w:rPr>
          <w:rFonts w:eastAsia="Times New Roman" w:cs="Times New Roman"/>
          <w:color w:val="000000" w:themeColor="text1"/>
          <w:szCs w:val="28"/>
        </w:rPr>
        <w:t>- Bên cạnh đó, để phù hợp với thực hiện mô hình tổ chức chính quyền địa phương 02 cấp, Luật đã bãi bỏ quy định về thẩm quyền giải quyết khiếu nại của Chủ tịch Ủy ban nhân dân cấp huyện (Điều 18); Luật lược bỏ quy định về hành vi bị nghiêm cấm trong giải quyết khiếu nại là vi phạm quy chế tiếp công dân (khoản 8 Điều 6) do nội dung này đã được quy định trong Luật Tiếp công dân và không thuộc phạm vi điều chỉnh của Luật Khiếu nại.</w:t>
      </w:r>
    </w:p>
    <w:p w:rsidR="00FA16C6" w:rsidRPr="00FA16C6" w:rsidRDefault="00FA16C6" w:rsidP="00437906">
      <w:pPr>
        <w:spacing w:before="120" w:after="120" w:line="240" w:lineRule="auto"/>
        <w:ind w:firstLine="709"/>
        <w:jc w:val="both"/>
        <w:outlineLvl w:val="0"/>
        <w:rPr>
          <w:rFonts w:eastAsia="Times New Roman" w:cs="Times New Roman"/>
          <w:b/>
          <w:bCs/>
          <w:color w:val="1A1A1A"/>
          <w:kern w:val="36"/>
          <w:szCs w:val="28"/>
        </w:rPr>
      </w:pPr>
      <w:r>
        <w:rPr>
          <w:rFonts w:eastAsia="Times New Roman" w:cs="Times New Roman"/>
          <w:b/>
          <w:bCs/>
          <w:color w:val="1A1A1A"/>
          <w:kern w:val="36"/>
          <w:szCs w:val="28"/>
        </w:rPr>
        <w:t xml:space="preserve">II. </w:t>
      </w:r>
      <w:r w:rsidRPr="00FA16C6">
        <w:rPr>
          <w:rFonts w:eastAsia="Times New Roman" w:cs="Times New Roman"/>
          <w:b/>
          <w:bCs/>
          <w:color w:val="1A1A1A"/>
          <w:kern w:val="36"/>
          <w:szCs w:val="28"/>
        </w:rPr>
        <w:t>Một số điểm mới của Nghị định số 155/2026/NĐ-CP sửa đổi, bổ sung Nghị định số 124/2020/NĐ-CP quy định chi tiết thi hành Luật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6C757D"/>
          <w:szCs w:val="28"/>
        </w:rPr>
        <w:t> </w:t>
      </w:r>
      <w:r w:rsidRPr="00FA16C6">
        <w:rPr>
          <w:rFonts w:eastAsia="Times New Roman" w:cs="Times New Roman"/>
          <w:b/>
          <w:bCs/>
          <w:color w:val="1A1A1A"/>
          <w:szCs w:val="28"/>
        </w:rPr>
        <w:t>1. Bổ sung quy định cụ thể về tiêu chí xác định vụ việc khiếu nại phức tạp; ủy quyền khiếu nại; đồng thời sửa đổi, bổ sung các quy định liên quan đến việc rút đơn khiếu nại trong một số trường hợp cụ thể. </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lastRenderedPageBreak/>
        <w:t> 1.1. Bổ sung Điều 3a (vào sau Điều 3 Nghị định số 124/2020/NĐ-CP) để định nghĩa rõ về vụ việc phức tạp. Theo đó, vụ việc phức tạp trong giải quyết khiếu nại là vụ việc thuộc một trong các trường hợp sau đây:</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a) Khiếu nại về một nội dung nhưng phải xác minh từ 02 địa điểm trở lên;</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b) Khiếu nại có từ 02 nội dung phải xác minh trở lên;</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c) Nhiều người khiếu nại về cùng một nội dung hoặc nội dung khiếu nại liên quan đến quyền và lợi ích của nhiều người;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d) Người khiếu nại ở nước ngoài hoặc là người nước ngoài; hành vi bị khiếu nại xảy ra ở nước ngoài; nội dung khiếu nại phải xác minh ở nước ngoài;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đ) Nội dung khiếu nại liên quan đến trách nhiệm quản lý của nhiều cơ quan, tổ chức;</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e) Các cơ quan, tổ chức có liên quan trong quá trình giải quyết khiếu nại còn ý kiến khác nhau;</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g) Có tài liệu, chứng cứ mâu thuẫn với nhau cần có thời gian kiểm tra, xác minh, đánh giá hoặc tham khảo ý kiến của các cơ quan chuyên môn.</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Việc xác định vụ việc phức tạp phải được thể hiện bằng văn bản và lưu trong hồ sơ giải quyết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1.2. Sửa đổi khoản 3, Điều 5 Nghị định số 124/2020/NĐ-CP quy định việc ủy quyền: </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Việc ủy quyền quy định tại khoản 1, khoản 2 Điều này phải được lập thành văn bản. Văn bản ủy quyền khiếu nại của cá nhân phải được công chứng hoặc chứng thực. Văn bản ủy quyền của tổ chức phải do người có thẩm quyền của tổ chức ký và đóng dấu của tổ chức đó (nếu có). Nội dung văn bản ủy quyền thực hiện theo Mẫu số 02 ban hành kèm theo Nghị định này.</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Người khiếu nại được ủy quyền khiếu nại cho một người hoặc nhiều người về các nội dung ủy quyền khác nhau nhưng không được ủy quyền một nội dung cho nhiều người thực hiện. </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1.3. Bổ sung Điều 7a (vào sau Điều 7 Nghị định số 124/2020/NĐ-CP) để quy định một số trường hợp rút đơn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Trường hợp nhiều người cùng khiếu nại về một nội dung mà có một hoặc một số người khiếu nại rút khiếu nại thì việc giải quyết khiếu nại vẫn được tiếp tục đối với những người khiếu nại còn lại; người khiếu nại đã rút khiếu nại không được tiếp tục thực hiện quyền, nghĩa vụ của người khiếu nại quy định tại Điều 12 Luật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Trường hợp nhiều người cùng khiếu nại mà toàn bộ người khiếu nại rút khiếu nại thì người giải quyết khiếu nại ban hành quyết định đình chỉ giải quyết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lastRenderedPageBreak/>
        <w:t> - Việc rút khiếu nại tại khoản 1, khoản 2 Điều này thực hiện theo quy định tại Điều 10 Luật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w:t>
      </w:r>
      <w:r w:rsidRPr="00FA16C6">
        <w:rPr>
          <w:rFonts w:eastAsia="Times New Roman" w:cs="Times New Roman"/>
          <w:b/>
          <w:bCs/>
          <w:color w:val="1A1A1A"/>
          <w:szCs w:val="28"/>
        </w:rPr>
        <w:t>2. Ứng dụng công nghệ thông tin, chuyển đổi số trong giải quyết khiếu nại</w:t>
      </w:r>
      <w:r w:rsidRPr="00FA16C6">
        <w:rPr>
          <w:rFonts w:eastAsia="Times New Roman" w:cs="Times New Roman"/>
          <w:color w:val="1A1A1A"/>
          <w:szCs w:val="28"/>
        </w:rPr>
        <w:t> </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Ngoài ra, so với Nghị định số 124/2020/NĐ-CP, Nghị định số 155/2026/NĐ-CP đã bổ sung nhiều quy định mang tính đổi mới, phù hợp với yêu cầu cải cách hành chính và chuyển đổi số hiện nay. Đáng chú ý, Nghị định đã bổ sung Điều 30a quy định về việc ứng dụng công nghệ thông tin và chuyển đổi số trong công tác giải quyết khiếu nại, qua đó góp phần hiện đại hóa quy trình xử lý, nâng cao hiệu quả quản lý nhà nước, tăng cường tính công khai, minh bạch và tạo thuận lợi cho công dân trong quá trình thực hiện quyền khiếu nại. Cụ thể như sau:</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Tại Điều 30a quy định: cơ quan, tổ chức, cá nhân có thẩm quyền ứng dụng công nghệ thông tin, chuyển đổi số để cập nhật, theo dõi, quản lý, lưu trữ, kết nối, chia sẻ dữ liệu giải quyết khiếu nại theo quy định của pháp luật.</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Thông tin, dữ liệu về quá trình xử lý, giải quyết khiếu nại được cập nhật kịp thời trên Cơ sở dữ liệu quốc gia về tiếp công dân, xử lý đơn, giải quyết khiếu nại, tố cáo.</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Việc ứng dụng công nghệ thông tin, chuyển đổi số trong giải quyết khiếu nại phải bảo đảm tính công khai, minh bạch, bảo đảm an ninh mạng, bảo vệ dữ liệu cá nhân và tuân thủ các quy định về bảo vệ bí mật nhà nước.</w:t>
      </w:r>
    </w:p>
    <w:p w:rsidR="00FA16C6" w:rsidRDefault="00FA16C6" w:rsidP="00437906">
      <w:pPr>
        <w:spacing w:before="120" w:after="120" w:line="240" w:lineRule="auto"/>
        <w:ind w:firstLine="709"/>
        <w:jc w:val="both"/>
        <w:rPr>
          <w:rFonts w:eastAsia="Times New Roman" w:cs="Times New Roman"/>
          <w:b/>
          <w:bCs/>
          <w:color w:val="1A1A1A"/>
          <w:szCs w:val="28"/>
        </w:rPr>
      </w:pPr>
      <w:r w:rsidRPr="00FA16C6">
        <w:rPr>
          <w:rFonts w:eastAsia="Times New Roman" w:cs="Times New Roman"/>
          <w:color w:val="1A1A1A"/>
          <w:szCs w:val="28"/>
        </w:rPr>
        <w:t> </w:t>
      </w:r>
      <w:r w:rsidRPr="00FA16C6">
        <w:rPr>
          <w:rFonts w:eastAsia="Times New Roman" w:cs="Times New Roman"/>
          <w:b/>
          <w:bCs/>
          <w:color w:val="1A1A1A"/>
          <w:szCs w:val="28"/>
        </w:rPr>
        <w:t>3. Bổ sung quy định về tạm đình chỉ và đình chỉ giải quyết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Đáng chú ý, Nghị định số 155/2026/NĐ-CP đã bổ sung Mục 2a gồm Điều 28a và Điều 28b vào sau Mục 2 Chương IV của Nghị định số 124/2020/NĐ-CP nhằm hướng dẫn chi tiết việc thực hiện Điều 11a của Luật Khiếu nại về tạm đình chỉ và đình chỉ giải quyết khiếu nại. Việc bổ sung các quy định này góp phần hoàn thiện cơ sở pháp lý, bảo đảm tính thống nhất trong quá trình áp dụng pháp luật.</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Điều 28a của Mục 2a định nghĩa rõ các sự kiện bất khả kháng hoặc trở ngại khách quan bao gồm nhưng không giới hạn những trường hợp sau: Thiên tai, dịch bệnh, chiến tranh, địch họa; tai nạn, ốm đau, đi công tác, học tập ở nơi xa; hồ sơ, tài liệu liên quan trực tiếp đến vụ việc khiếu nại đang bị cơ quan có thẩm quyền tạm giữ, niêm phong.</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Bên cạnh đó, tại Điều 28b của Mục này còn quy định rõ quy trình khôi phục giải quyết khiếu nại. Theo đó, khi căn cứ tạm đình chỉ không còn, người giải quyết khiếu nại phải ban hành ngay quyết định tiếp tục giải quyết khiếu nại trong thời hạn 03 ngày làm việc, kể từ ngày ban hành theo Mẫu số 14b. Thời hạn giải quyết khiếu nại tiếp tục được tính từ ngày ban hành quyết định tiếp tục giải quyết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w:t>
      </w:r>
      <w:r w:rsidRPr="00FA16C6">
        <w:rPr>
          <w:rFonts w:eastAsia="Times New Roman" w:cs="Times New Roman"/>
          <w:b/>
          <w:bCs/>
          <w:color w:val="1A1A1A"/>
          <w:szCs w:val="28"/>
        </w:rPr>
        <w:t>4. Siết chặt trách nhiệm và kỷ luật cán bộ trong xử lý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xml:space="preserve"> - Nghị định 155/2026/NĐ-CP đã sửa đổi, bổ sung các quy định tại Điều 40, Điều 41 Nghị định số 124/2020/NĐ-CP nhằm chi tiết hóa các hình thức xử lý kỷ </w:t>
      </w:r>
      <w:r w:rsidRPr="00FA16C6">
        <w:rPr>
          <w:rFonts w:eastAsia="Times New Roman" w:cs="Times New Roman"/>
          <w:color w:val="1A1A1A"/>
          <w:szCs w:val="28"/>
        </w:rPr>
        <w:lastRenderedPageBreak/>
        <w:t>luật đối với người xác minh và người giải quyết khiếu nại. Theo đó, quy định cụ thể 4 hình thức kỷ luật (khiển trách, cảnh cáo, cách chức, buộc thôi việc) cho các hành vi như: sách nhiễu, bao che người bị khiếu nại, đe dọa trả thù, cố ý làm sai lệch hồ sơ hoặc không thụ lý vụ việc đủ điều kiện thụ lý…</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Đồng thời, Nghị định 155/2026/NĐ-CP cũng bổ sung Điều 41a vào sau Điều 41 Nghị định 124/2020/NĐ-CP để xử lý kỷ luật đối với cả những người không trực tiếp giải quyết nhưng có hành vi can thiệp trái pháp luật vào quá trình khiếu nại.</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w:t>
      </w:r>
      <w:r w:rsidRPr="00FA16C6">
        <w:rPr>
          <w:rFonts w:eastAsia="Times New Roman" w:cs="Times New Roman"/>
          <w:b/>
          <w:bCs/>
          <w:color w:val="1A1A1A"/>
          <w:szCs w:val="28"/>
        </w:rPr>
        <w:t>5. Hiệu lực thi hành và quy định chuyển tiếp. </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Nghị định 155/2026/NĐ-CP có hiệu lực thi hành từ ngày 01/7/2026.</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Việc rút khiếu nại, tạm đình chỉ, đình chỉ giải quyết khiếu nại, đối thoại đối với vụ việc khiếu nại đã có thông báo thụ lý trước ngày Nghị định này có hiệu lực thi hành và chưa ban hành quyết định giải quyết khiếu nại được thực hiện theo quy định tại Nghị định này.</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Đối với vụ việc giải quyết khiếu nại vi phạm pháp luật, gây thiệt hại đến lợi ích của Nhà nước, quyền và lợi ích hợp pháp của cơ quan, tổ chức, cá nhân bị phát hiện trước khi Nghị định này có hiệu lực thi hành và đang được xem xét, giải quyết thì tiếp tục thực hiện việc xem xét giải quyết theo quy định tại Nghị định số 124/2020/NĐ-CP.</w:t>
      </w:r>
    </w:p>
    <w:p w:rsidR="00FA16C6" w:rsidRPr="00FA16C6" w:rsidRDefault="00FA16C6" w:rsidP="00437906">
      <w:pPr>
        <w:spacing w:before="120" w:after="120" w:line="240" w:lineRule="auto"/>
        <w:ind w:firstLine="709"/>
        <w:jc w:val="both"/>
        <w:rPr>
          <w:rFonts w:eastAsia="Times New Roman" w:cs="Times New Roman"/>
          <w:color w:val="1A1A1A"/>
          <w:szCs w:val="28"/>
        </w:rPr>
      </w:pPr>
      <w:r w:rsidRPr="00FA16C6">
        <w:rPr>
          <w:rFonts w:eastAsia="Times New Roman" w:cs="Times New Roman"/>
          <w:color w:val="1A1A1A"/>
          <w:szCs w:val="28"/>
        </w:rPr>
        <w:t> - Đối với hành vi vi phạm pháp luật về khiếu nại xảy ra trước ngày Nghị định này có hiệu lực đang được xem xét, xử lý và chưa có quyết định xử lý kỷ luật hoặc việc xem xét, xử lý sau ngày Nghị định này có hiệu lực thì áp dụng quy định tại Nghị định này hoặc quy định của Nghị định số 124/2020/NĐ-CP nếu có lợi cho cán bộ, công chức có hành vi vi phạm bị xử lý kỷ luật./.</w:t>
      </w:r>
    </w:p>
    <w:p w:rsidR="00FA16C6" w:rsidRPr="00FA16C6" w:rsidRDefault="00FA16C6" w:rsidP="00437906">
      <w:pPr>
        <w:spacing w:before="120" w:after="120" w:line="240" w:lineRule="auto"/>
        <w:ind w:firstLine="709"/>
        <w:jc w:val="both"/>
        <w:rPr>
          <w:rFonts w:cs="Times New Roman"/>
          <w:szCs w:val="28"/>
        </w:rPr>
      </w:pPr>
    </w:p>
    <w:p w:rsidR="00437906" w:rsidRPr="00FA16C6" w:rsidRDefault="00437906" w:rsidP="00437906">
      <w:pPr>
        <w:pStyle w:val="Heading1"/>
        <w:shd w:val="clear" w:color="auto" w:fill="FFFFFF"/>
        <w:spacing w:before="120" w:after="120" w:line="240" w:lineRule="auto"/>
        <w:ind w:firstLine="709"/>
        <w:jc w:val="both"/>
        <w:rPr>
          <w:rFonts w:ascii="Times New Roman" w:hAnsi="Times New Roman" w:cs="Times New Roman"/>
          <w:b/>
          <w:color w:val="000000" w:themeColor="text1"/>
          <w:sz w:val="28"/>
          <w:szCs w:val="28"/>
        </w:rPr>
      </w:pPr>
      <w:r w:rsidRPr="00FA16C6">
        <w:rPr>
          <w:rFonts w:ascii="Times New Roman" w:hAnsi="Times New Roman" w:cs="Times New Roman"/>
          <w:b/>
          <w:color w:val="000000" w:themeColor="text1"/>
          <w:sz w:val="28"/>
          <w:szCs w:val="28"/>
        </w:rPr>
        <w:t>II. Một số điểm mới của Nghị định số 156/2026/NĐ-CP ngày 15/5/2026 của Chính phủ</w:t>
      </w:r>
    </w:p>
    <w:p w:rsidR="00437906" w:rsidRPr="00FA16C6" w:rsidRDefault="00437906" w:rsidP="00437906">
      <w:pPr>
        <w:pStyle w:val="Heading1"/>
        <w:shd w:val="clear" w:color="auto" w:fill="FFFFFF"/>
        <w:spacing w:before="120" w:after="120" w:line="240" w:lineRule="auto"/>
        <w:ind w:firstLine="709"/>
        <w:jc w:val="both"/>
        <w:rPr>
          <w:rFonts w:ascii="Times New Roman" w:hAnsi="Times New Roman" w:cs="Times New Roman"/>
          <w:color w:val="000000" w:themeColor="text1"/>
          <w:sz w:val="28"/>
          <w:szCs w:val="28"/>
        </w:rPr>
      </w:pPr>
      <w:r w:rsidRPr="00FA16C6">
        <w:rPr>
          <w:rFonts w:ascii="Times New Roman" w:hAnsi="Times New Roman" w:cs="Times New Roman"/>
          <w:b/>
          <w:color w:val="000000" w:themeColor="text1"/>
          <w:sz w:val="28"/>
          <w:szCs w:val="28"/>
        </w:rPr>
        <w:t xml:space="preserve"> </w:t>
      </w:r>
      <w:r w:rsidRPr="00FA16C6">
        <w:rPr>
          <w:rFonts w:ascii="Times New Roman" w:hAnsi="Times New Roman" w:cs="Times New Roman"/>
          <w:color w:val="000000" w:themeColor="text1"/>
          <w:sz w:val="28"/>
          <w:szCs w:val="28"/>
        </w:rPr>
        <w:t>Ngày 15/5/2026, Chính phủ ban hành Nghị định số 156/2026/NĐ-CP sửa đổi, bổ sung một số điều của Nghị định số 31/2019/NĐ-CP ngày 10/4/2019 của chính phủ quy định chi tiết một số điều và biện pháp tổ chức thi hành Luật Tố cáo, trong đó, có một số quy định mới về tổ chức, thi hành Luật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1</w:t>
      </w:r>
      <w:r w:rsidRPr="00FA16C6">
        <w:rPr>
          <w:rStyle w:val="Strong"/>
          <w:color w:val="000000" w:themeColor="text1"/>
          <w:sz w:val="28"/>
          <w:szCs w:val="28"/>
        </w:rPr>
        <w:t>. Quy định mới về rút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Tại Nghị định số 156/2026/NĐ-CP sửa đổi, bổ sung Điều 4 Nghị định số </w:t>
      </w:r>
      <w:hyperlink r:id="rId9" w:tgtFrame="_blank" w:tooltip="31/2019/NĐ-CP" w:history="1">
        <w:r w:rsidRPr="00FA16C6">
          <w:rPr>
            <w:rStyle w:val="Hyperlink"/>
            <w:color w:val="000000" w:themeColor="text1"/>
            <w:sz w:val="28"/>
            <w:szCs w:val="28"/>
            <w:u w:val="none"/>
          </w:rPr>
          <w:t>31/2019/NĐ-CP</w:t>
        </w:r>
      </w:hyperlink>
      <w:r w:rsidRPr="00FA16C6">
        <w:rPr>
          <w:color w:val="000000" w:themeColor="text1"/>
          <w:sz w:val="28"/>
          <w:szCs w:val="28"/>
        </w:rPr>
        <w:t> quy định về rút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Theo quy định mới, đơn rút tố cáo phải ghi rõ ngày, tháng, năm, họ và tên, địa chỉ của người tố cáo rút tố cáo, cách thức liên hệ, nội dung tố cáo được rút, có chữ ký hoặc điểm chỉ của người tố cáo rút tố cáo và được thực hiện theo Mẫu số 02 tại Phụ lục ban hành kèm theo Nghị định này.</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lastRenderedPageBreak/>
        <w:t>Biên bản ghi nhận ý kiến rút tố cáo do người giải quyết tố cáo hoặc người kiểm tra, xác minh thông tin về người tố cáo và điều kiện thụ lý tố cáo hoặc người xác minh nội dung tố cáo hoặc người tiếp nhận rút tố cáo lập khi làm việc với người tố cáo rút tố cáo. Biên bản ghi nhận ý kiến rút tố cáo phải có chữ ký hoặc điểm chỉ của người tố cáo rút tố cáo và được thực hiện theo Mẫu số 03 tại Phụ lục ban hành kèm theo Nghị định này.</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Trường hợp nhiều người cùng tố cáo mà có một hoặc một số hoặc tất cả người tố cáo rút tố cáo thì việc rút tố cáo thực hiện theo quy định trên.</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Trường hợp người tố cáo rút tố cáo thì người giải quyết tố cáo vẫn phải tiếp tục giải quyết tố cáo nếu qua xem xét hồ sơ, tài liệu, thông tin đã thu thập được nhận thấy vụ việc có một trong các căn cứ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 Hành vi bị tố cáo có dấu hiệu vi phạm pháp luật;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 Có căn cứ xác định việc rút tố cáo được thực hiện do người tố cáo bị đe dọa, ép buộc, mua chuộc;</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 Có căn cứ xác định người tố cáo đã lợi dụng việc tố cáo để vu khống, xúc phạm, gây thiệt hại cho người bị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Khi giải quyết tố cáo theo quy định tại khoản 3 Điều 33 Luật Tố cáo, người giải quyết tố cáo áp dụng biện pháp theo thẩm quyền hoặc đề nghị cơ quan, tổ chức, cá nhân có thẩm quyền áp dụng biện pháp bảo vệ người tố cáo theo quy định của pháp luật; xử lý người có hành vi đe dọa, mua chuộc người tố cáo hoặc người lợi dụng việc tố cáo để vu khống, xúc phạm, gây thiệt hại cho người bị tố cáo theo quy định của pháp luật.</w:t>
      </w:r>
    </w:p>
    <w:p w:rsidR="00437906" w:rsidRPr="00437906" w:rsidRDefault="00437906" w:rsidP="00437906">
      <w:pPr>
        <w:pStyle w:val="Heading3"/>
        <w:shd w:val="clear" w:color="auto" w:fill="FFFFFF"/>
        <w:spacing w:before="120" w:after="120" w:line="240" w:lineRule="auto"/>
        <w:ind w:firstLine="709"/>
        <w:jc w:val="both"/>
        <w:rPr>
          <w:rFonts w:ascii="Times New Roman" w:hAnsi="Times New Roman" w:cs="Times New Roman"/>
          <w:color w:val="000000" w:themeColor="text1"/>
          <w:sz w:val="28"/>
          <w:szCs w:val="28"/>
        </w:rPr>
      </w:pPr>
      <w:r w:rsidRPr="00437906">
        <w:rPr>
          <w:rStyle w:val="Strong"/>
          <w:rFonts w:ascii="Times New Roman" w:hAnsi="Times New Roman" w:cs="Times New Roman"/>
          <w:bCs w:val="0"/>
          <w:color w:val="000000" w:themeColor="text1"/>
          <w:sz w:val="28"/>
          <w:szCs w:val="28"/>
        </w:rPr>
        <w:t>2</w:t>
      </w:r>
      <w:r w:rsidRPr="00437906">
        <w:rPr>
          <w:rStyle w:val="Strong"/>
          <w:rFonts w:ascii="Times New Roman" w:hAnsi="Times New Roman" w:cs="Times New Roman"/>
          <w:bCs w:val="0"/>
          <w:color w:val="000000" w:themeColor="text1"/>
          <w:sz w:val="28"/>
          <w:szCs w:val="28"/>
        </w:rPr>
        <w:t>. Quá trình giải quyết tố cáo được cập nhật kịp thời trên Cơ sở dữ liệu quốc gia</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Nghị định số 156/2026/NĐ-CP bổ sung Điều 19a về ứng dụng công nghệ thông tin và chuyển đổi số trong giải quyết tố cáo vào sau Điều 19 quy định trình tự, thủ tục giải quyết tố cáo đối với hành vi vi phạm pháp luật trong việc thực hiện nhiệm vụ, công vụ có nội dung rõ ràng, chứng cứ cụ thể, có cơ sở để xử lý ngay như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Cơ quan, tổ chức, cá nhân có thẩm quyền ứng dụng công nghệ thông tin, chuyển đổi số để cập nhật, theo dõi, quản lý, lưu trữ, kết nối, chia sẻ dữ liệu giải quyết tố cáo theo quy định của pháp luật.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Thông tin, dữ liệu về quá trình xử lý, giải quyết tố cáo được cập nhật kịp thời trên Cơ sở dữ liệu quốc gia về tiếp công dân, xử lý đơn, giải quyết khiếu nại,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Việc ứng dụng công nghệ thông tin và chuyển đổi số trong giải quyết tố cáo phải bảo đảm tính công khai, minh bạch, bảo đảm an ninh mạng, bảo vệ dữ liệu cá nhân và tuân thủ các quy định về bảo vệ bí mật nhà nước.</w:t>
      </w:r>
    </w:p>
    <w:p w:rsidR="00437906" w:rsidRPr="00FA16C6" w:rsidRDefault="00437906" w:rsidP="00437906">
      <w:pPr>
        <w:pStyle w:val="Heading3"/>
        <w:shd w:val="clear" w:color="auto" w:fill="FFFFFF"/>
        <w:spacing w:before="120" w:after="120" w:line="240" w:lineRule="auto"/>
        <w:ind w:firstLine="709"/>
        <w:jc w:val="both"/>
        <w:rPr>
          <w:rFonts w:ascii="Times New Roman" w:hAnsi="Times New Roman" w:cs="Times New Roman"/>
          <w:color w:val="000000" w:themeColor="text1"/>
          <w:sz w:val="28"/>
          <w:szCs w:val="28"/>
        </w:rPr>
      </w:pPr>
      <w:r w:rsidRPr="00FA16C6">
        <w:rPr>
          <w:rFonts w:ascii="Times New Roman" w:hAnsi="Times New Roman" w:cs="Times New Roman"/>
          <w:b/>
          <w:bCs/>
          <w:color w:val="000000" w:themeColor="text1"/>
          <w:sz w:val="28"/>
          <w:szCs w:val="28"/>
        </w:rPr>
        <w:lastRenderedPageBreak/>
        <w:t>Nguyên tắc xử lý kỷ luật đối với cán bộ, công chức, viên chức có hành vi vi phạm pháp luật về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Đồng thời, Nghị định số 156/2026/NĐ-CP cũng sửa đổi, bổ sung Điều 21 quy định nguyên tắc xử lý kỷ luật đối với cán bộ, công chức, viên chức có hành vi vi phạm pháp luật về tố cáo như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Người giải quyết tố cáo, người xác minh nội dung tố cáo, người tiếp nhận tố cáo và người tố cáo là cán bộ, công chức, viên chức có hành vi vi phạm pháp luật về tố cáo thì tùy theo tính chất, mức độ vi phạm mà bị xử lý kỷ luật theo quy định của pháp luật và quy định ở dưới (Điều 22, Điều 23 Nghị định này) hoặc truy cứu trách nhiệm hình sự. Trường hợp gây thiệt hại thì phải bồi thường theo quy định của pháp luật về trách nhiệm bồi thường của Nhà nước.</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Nguyên tắc, thẩm quyền, trình tự, thủ tục xử lý kỷ luật và quy định khác có liên quan được thực hiện theo quy định của pháp luật về xử lý kỷ luật đối với cán bộ, công chức, viên chức.</w:t>
      </w:r>
    </w:p>
    <w:p w:rsidR="00437906" w:rsidRPr="00437906" w:rsidRDefault="00437906" w:rsidP="00437906">
      <w:pPr>
        <w:pStyle w:val="Heading3"/>
        <w:shd w:val="clear" w:color="auto" w:fill="FFFFFF"/>
        <w:spacing w:before="120" w:after="120" w:line="240" w:lineRule="auto"/>
        <w:ind w:firstLine="709"/>
        <w:jc w:val="both"/>
        <w:rPr>
          <w:rFonts w:ascii="Times New Roman" w:hAnsi="Times New Roman" w:cs="Times New Roman"/>
          <w:color w:val="000000" w:themeColor="text1"/>
          <w:sz w:val="28"/>
          <w:szCs w:val="28"/>
        </w:rPr>
      </w:pPr>
      <w:r w:rsidRPr="00437906">
        <w:rPr>
          <w:rStyle w:val="Strong"/>
          <w:rFonts w:ascii="Times New Roman" w:hAnsi="Times New Roman" w:cs="Times New Roman"/>
          <w:bCs w:val="0"/>
          <w:color w:val="000000" w:themeColor="text1"/>
          <w:sz w:val="28"/>
          <w:szCs w:val="28"/>
        </w:rPr>
        <w:t>3</w:t>
      </w:r>
      <w:r w:rsidRPr="00437906">
        <w:rPr>
          <w:rStyle w:val="Strong"/>
          <w:rFonts w:ascii="Times New Roman" w:hAnsi="Times New Roman" w:cs="Times New Roman"/>
          <w:bCs w:val="0"/>
          <w:color w:val="000000" w:themeColor="text1"/>
          <w:sz w:val="28"/>
          <w:szCs w:val="28"/>
        </w:rPr>
        <w:t>. Quy định về xử lý kỷ luật đối với người giải quyết tố cáo, người xác minh nội dung tố cáo, người tiếp nhận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Nghị định số 156/2026/NĐ-CP sửa đổi, bổ sung Điều 22 về xử lý kỷ luật đối với người giải quyết tố cáo, người xác minh nội dung tố cáo, người tiếp nhận tố cáo như sau:</w:t>
      </w:r>
      <w:r>
        <w:rPr>
          <w:color w:val="000000" w:themeColor="text1"/>
          <w:sz w:val="28"/>
          <w:szCs w:val="28"/>
        </w:rPr>
        <w: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3.1.</w:t>
      </w:r>
      <w:r w:rsidRPr="00FA16C6">
        <w:rPr>
          <w:rStyle w:val="Strong"/>
          <w:color w:val="000000" w:themeColor="text1"/>
          <w:sz w:val="28"/>
          <w:szCs w:val="28"/>
        </w:rPr>
        <w:t xml:space="preserve"> Hình thức kỷ luật khiển trách áp dụng đối với người giải quyết tố cáo, người xác minh nội dung tố cáo, người tiếp nhận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Không thực hiện hoặc thực hiện không đầy đủ trách nhiệm bảo vệ người tố cáo dẫn đến việc người tố cáo bị trả thù, trù dập, trừ trường hợp quy định tại điểm b mục 3 và điểm d mục 4 ở dưới;</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Cản trở, gây khó khăn, phiền hà cho người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Thiếu trách nhiệm trong việc giải quyết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d) Bao che cho người bị tố cáo, trừ trường hợp quy định tại điểm c mục 4.</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3.</w:t>
      </w:r>
      <w:r w:rsidRPr="00FA16C6">
        <w:rPr>
          <w:rStyle w:val="Strong"/>
          <w:color w:val="000000" w:themeColor="text1"/>
          <w:sz w:val="28"/>
          <w:szCs w:val="28"/>
        </w:rPr>
        <w:t>2- Hình thức kỷ luật cảnh cáo áp dụng đối với người giải quyết tố cáo, người xác minh nội dung tố cáo, người tiếp nhận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khiển trách theo quy định tại mục 1 ở trên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Tiết lộ họ tên, địa chỉ, bút tích của người tố cáo và những thông tin khác làm lộ danh tính của người tố cáo, trừ trường hợp người tố cáo từ chối biện pháp bảo vệ bí mật thông tin;</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Cố ý không thụ lý tố cáo, không ban hành kết luận nội dung tố cáo; không quyết định xử lý tố cáo theo thẩm quyền hoặc không kiến nghị người có thẩm quyền xử lý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lastRenderedPageBreak/>
        <w:t>d) Lợi dụng chức vụ, quyền hạn trong việc giải quyết tố cáo để thực hiện hành vi trái pháp luật;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đ) Đe dọa, mua chuộc, trả thù, trù dập, xúc phạm người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e) Không áp dụng biện pháp bảo vệ người tố cáo thuộc thẩm quyền dẫn đến việc người tố cáo bị trả thù, trù dập gây thương tích hoặc tổn hại sức khỏe với tỷ lệ tổn thương cơ thể từ 31% đến dưới 61%, trừ trường hợp quy định tại điểm b mục 3 ở dưới.</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3.</w:t>
      </w:r>
      <w:r w:rsidRPr="00FA16C6">
        <w:rPr>
          <w:rStyle w:val="Strong"/>
          <w:color w:val="000000" w:themeColor="text1"/>
          <w:sz w:val="28"/>
          <w:szCs w:val="28"/>
        </w:rPr>
        <w:t>3- Hình thức kỷ luật cách chức áp dụng đối với người giải quyết tố cáo, người xác minh nội dung tố cáo, người tiếp nhận tố cáo giữ chức vụ lãnh đạo, quản lý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cảnh cáo theo quy định tại mục 2 ở trên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Không áp dụng biện pháp bảo vệ người tố cáo thuộc thẩm quyền dẫn đến việc người tố cáo bị trả thù, trù dập gây thương tích hoặc tổn hại sức khỏe với tỷ lệ tổn thương cơ thể từ 31% đến dưới 61%.</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3.</w:t>
      </w:r>
      <w:r w:rsidRPr="00FA16C6">
        <w:rPr>
          <w:rStyle w:val="Strong"/>
          <w:color w:val="000000" w:themeColor="text1"/>
          <w:sz w:val="28"/>
          <w:szCs w:val="28"/>
        </w:rPr>
        <w:t>4- Hình thức kỷ luật buộc thôi việc hoặc bãi nhiệm áp dụng đối với người giải quyết tố cáo, người xác minh nội dung tố cáo, người tiếp nhận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cách chức đối với công chức giữ chức vụ lãnh đạo, quản lý hoặc cảnh cáo đối với công chức không giữ chức vụ lãnh đạo, quản lý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Cố ý không giải quyết hoặc cố ý giải quyết tố cáo trái pháp luật gây mất ổn định, an ninh, trật tự xã hội;</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Cố ý bỏ qua các bằng chứng, bỏ lọt các thông tin, tài liệu hoặc làm mất, làm sai lệch hồ sơ, tài liệu vụ việc tố cáo trong quá trình giải quyết tố cáo, dẫn đến xác định sai hành vi vi phạm, mức độ vi phạm của người bị tố cáo theo hướng giảm nhẹ hoặc loại trừ trách nhiệm; bao che cho người bị tố cáo gây mất ổn định, an ninh, trật tự xã hội;</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d) Không áp dụng biện pháp bảo vệ người tố cáo thuộc thẩm quyền làm cho người tố cáo bị trả thù, trù dập dẫn đến thương tích hoặc tổn hại cho sức khỏe với tỷ lệ tổn thương cơ thể từ 61% trở lên hoặc bị chết.</w:t>
      </w:r>
    </w:p>
    <w:p w:rsidR="00437906" w:rsidRPr="00FA16C6" w:rsidRDefault="00437906" w:rsidP="00437906">
      <w:pPr>
        <w:pStyle w:val="Heading3"/>
        <w:shd w:val="clear" w:color="auto" w:fill="FFFFFF"/>
        <w:spacing w:before="120" w:after="120" w:line="240" w:lineRule="auto"/>
        <w:ind w:firstLine="709"/>
        <w:jc w:val="both"/>
        <w:rPr>
          <w:rFonts w:ascii="Times New Roman" w:hAnsi="Times New Roman" w:cs="Times New Roman"/>
          <w:color w:val="000000" w:themeColor="text1"/>
          <w:sz w:val="28"/>
          <w:szCs w:val="28"/>
        </w:rPr>
      </w:pPr>
      <w:r>
        <w:rPr>
          <w:rStyle w:val="Strong"/>
          <w:rFonts w:ascii="Times New Roman" w:hAnsi="Times New Roman" w:cs="Times New Roman"/>
          <w:b w:val="0"/>
          <w:bCs w:val="0"/>
          <w:color w:val="000000" w:themeColor="text1"/>
          <w:sz w:val="28"/>
          <w:szCs w:val="28"/>
        </w:rPr>
        <w:t>4.</w:t>
      </w:r>
      <w:r w:rsidRPr="00FA16C6">
        <w:rPr>
          <w:rStyle w:val="Strong"/>
          <w:rFonts w:ascii="Times New Roman" w:hAnsi="Times New Roman" w:cs="Times New Roman"/>
          <w:b w:val="0"/>
          <w:bCs w:val="0"/>
          <w:color w:val="000000" w:themeColor="text1"/>
          <w:sz w:val="28"/>
          <w:szCs w:val="28"/>
        </w:rPr>
        <w:t>. Xử lý kỷ luật đối với người tố cáo là cán bộ, công chức, viên chức</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Nghị định số 156/2026/NĐ-CP cũng sửa đổi, bổ sung Điều 23 về xử lý kỷ luật đối với người tố cáo là cán bộ, công chức, viên chức như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4.</w:t>
      </w:r>
      <w:r w:rsidRPr="00FA16C6">
        <w:rPr>
          <w:rStyle w:val="Strong"/>
          <w:color w:val="000000" w:themeColor="text1"/>
          <w:sz w:val="28"/>
          <w:szCs w:val="28"/>
        </w:rPr>
        <w:t>1- Hình thức kỷ luật khiển trách áp dụng đối với người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Biết rõ việc tố cáo là không đúng sự thật nhưng vẫn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lastRenderedPageBreak/>
        <w:t>b) Biết vụ việc đã được cơ quan, người có thẩm quyền giải quyết đúng chính sách, pháp luật nhưng vẫn tố cáo mà không có bằng chứng chứng minh nội dung tố cáo;</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Lôi kéo, kích động, dụ dỗ người khác tố cáo sai sự thật.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4.</w:t>
      </w:r>
      <w:r w:rsidRPr="00FA16C6">
        <w:rPr>
          <w:rStyle w:val="Strong"/>
          <w:color w:val="000000" w:themeColor="text1"/>
          <w:sz w:val="28"/>
          <w:szCs w:val="28"/>
        </w:rPr>
        <w:t>2- Hình thức kỷ luật cảnh cáo áp dụng đối với người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khiển trách theo quy định ở mục 1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Cưỡng ép, mua chuộc người khác tố cáo sai sự thật;</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Sử dụng họ tên của người khác để tố cáo trừ trường hợp quy định tại điểm b mục 3 ở dưới.</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4.</w:t>
      </w:r>
      <w:r w:rsidRPr="00FA16C6">
        <w:rPr>
          <w:rStyle w:val="Strong"/>
          <w:color w:val="000000" w:themeColor="text1"/>
          <w:sz w:val="28"/>
          <w:szCs w:val="28"/>
        </w:rPr>
        <w:t>3- Hình thức kỷ luật cách chức áp dụng đối với người tố cáo giữ chức vụ lãnh đạo, quản lý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cảnh cáo theo quy định tại mục 2 ở trên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Sử dụng họ tên của người khác để tố cáo làm ảnh hưởng đến hoạt động bình thường của cơ quan, tổ chức, đơn vị hoặc gây mất đoàn kết nội bộ.</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Pr>
          <w:rStyle w:val="Strong"/>
          <w:color w:val="000000" w:themeColor="text1"/>
          <w:sz w:val="28"/>
          <w:szCs w:val="28"/>
        </w:rPr>
        <w:t>4.</w:t>
      </w:r>
      <w:r w:rsidRPr="00FA16C6">
        <w:rPr>
          <w:rStyle w:val="Strong"/>
          <w:color w:val="000000" w:themeColor="text1"/>
          <w:sz w:val="28"/>
          <w:szCs w:val="28"/>
        </w:rPr>
        <w:t>4- Hình thức kỷ luật buộc thôi việc hoặc bãi nhiệm áp dụng đối với người tố cáo khi có một trong các hành vi sau: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a) Đã bị xử lý kỷ luật bằng hình thức cách chức đối với người tố cáo giữ chức vụ lãnh đạo, quản lý hoặc cảnh cáo đối với người tố cáo không giữ chức vụ lãnh đạo, quản lý mà tái phạm;</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b) Lợi dụng quyền tố cáo để tuyên truyền chống Nhà nước, xâm phạm lợi ích của Nhà nước; gây rối an ninh, trật tự công cộng;</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c) Lợi dụng việc tố cáo để xuyên tạc sự thật, vu khống, tố cáo bịa đặt, đả kích, chia rẽ bè phái, gây mất đoàn kết nội bộ, tố cáo nhiều lần có dụng ý xấu.</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r w:rsidRPr="00FA16C6">
        <w:rPr>
          <w:color w:val="000000" w:themeColor="text1"/>
          <w:sz w:val="28"/>
          <w:szCs w:val="28"/>
        </w:rPr>
        <w:t>Nghị định này có hiệu lực từ ngày 1/7/2026.</w:t>
      </w:r>
    </w:p>
    <w:p w:rsidR="00437906" w:rsidRPr="00FA16C6" w:rsidRDefault="00437906" w:rsidP="00437906">
      <w:pPr>
        <w:pStyle w:val="NormalWeb"/>
        <w:shd w:val="clear" w:color="auto" w:fill="FFFFFF"/>
        <w:spacing w:before="120" w:beforeAutospacing="0" w:after="120" w:afterAutospacing="0"/>
        <w:ind w:firstLine="709"/>
        <w:jc w:val="both"/>
        <w:rPr>
          <w:color w:val="000000" w:themeColor="text1"/>
          <w:sz w:val="28"/>
          <w:szCs w:val="28"/>
        </w:rPr>
      </w:pPr>
    </w:p>
    <w:p w:rsidR="00FA16C6" w:rsidRPr="00FA16C6" w:rsidRDefault="00FA16C6" w:rsidP="00437906">
      <w:pPr>
        <w:pStyle w:val="NormalWeb"/>
        <w:shd w:val="clear" w:color="auto" w:fill="FFFFFF"/>
        <w:spacing w:before="120" w:beforeAutospacing="0" w:after="120" w:afterAutospacing="0"/>
        <w:ind w:firstLine="709"/>
        <w:jc w:val="both"/>
        <w:rPr>
          <w:color w:val="000000" w:themeColor="text1"/>
          <w:sz w:val="28"/>
          <w:szCs w:val="28"/>
        </w:rPr>
      </w:pP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p>
    <w:p w:rsidR="00FA16C6" w:rsidRPr="00FA16C6" w:rsidRDefault="00FA16C6" w:rsidP="00437906">
      <w:pPr>
        <w:shd w:val="clear" w:color="auto" w:fill="FFFFFF"/>
        <w:spacing w:before="120" w:after="120" w:line="240" w:lineRule="auto"/>
        <w:ind w:firstLine="709"/>
        <w:jc w:val="both"/>
        <w:rPr>
          <w:rFonts w:eastAsia="Times New Roman" w:cs="Times New Roman"/>
          <w:color w:val="000000" w:themeColor="text1"/>
          <w:szCs w:val="28"/>
        </w:rPr>
      </w:pPr>
    </w:p>
    <w:p w:rsidR="00826143" w:rsidRPr="00FA16C6" w:rsidRDefault="00826143" w:rsidP="00437906">
      <w:pPr>
        <w:spacing w:before="120" w:after="120" w:line="240" w:lineRule="auto"/>
        <w:ind w:firstLine="709"/>
        <w:jc w:val="both"/>
        <w:rPr>
          <w:rFonts w:cs="Times New Roman"/>
          <w:color w:val="000000" w:themeColor="text1"/>
          <w:szCs w:val="28"/>
        </w:rPr>
      </w:pPr>
    </w:p>
    <w:sectPr w:rsidR="00826143" w:rsidRPr="00FA16C6" w:rsidSect="00437906">
      <w:headerReference w:type="default" r:id="rId10"/>
      <w:pgSz w:w="11907" w:h="16840" w:code="9"/>
      <w:pgMar w:top="1134" w:right="992"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57F" w:rsidRDefault="00EF257F" w:rsidP="00437906">
      <w:pPr>
        <w:spacing w:after="0" w:line="240" w:lineRule="auto"/>
      </w:pPr>
      <w:r>
        <w:separator/>
      </w:r>
    </w:p>
  </w:endnote>
  <w:endnote w:type="continuationSeparator" w:id="0">
    <w:p w:rsidR="00EF257F" w:rsidRDefault="00EF257F" w:rsidP="00437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57F" w:rsidRDefault="00EF257F" w:rsidP="00437906">
      <w:pPr>
        <w:spacing w:after="0" w:line="240" w:lineRule="auto"/>
      </w:pPr>
      <w:r>
        <w:separator/>
      </w:r>
    </w:p>
  </w:footnote>
  <w:footnote w:type="continuationSeparator" w:id="0">
    <w:p w:rsidR="00EF257F" w:rsidRDefault="00EF257F" w:rsidP="00437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424327"/>
      <w:docPartObj>
        <w:docPartGallery w:val="Page Numbers (Top of Page)"/>
        <w:docPartUnique/>
      </w:docPartObj>
    </w:sdtPr>
    <w:sdtEndPr>
      <w:rPr>
        <w:noProof/>
      </w:rPr>
    </w:sdtEndPr>
    <w:sdtContent>
      <w:p w:rsidR="00437906" w:rsidRDefault="00437906">
        <w:pPr>
          <w:pStyle w:val="Header"/>
          <w:jc w:val="center"/>
        </w:pPr>
        <w:r>
          <w:fldChar w:fldCharType="begin"/>
        </w:r>
        <w:r>
          <w:instrText xml:space="preserve"> PAGE   \* MERGEFORMAT </w:instrText>
        </w:r>
        <w:r>
          <w:fldChar w:fldCharType="separate"/>
        </w:r>
        <w:r>
          <w:rPr>
            <w:noProof/>
          </w:rPr>
          <w:t>11</w:t>
        </w:r>
        <w:r>
          <w:rPr>
            <w:noProof/>
          </w:rPr>
          <w:fldChar w:fldCharType="end"/>
        </w:r>
      </w:p>
    </w:sdtContent>
  </w:sdt>
  <w:p w:rsidR="00437906" w:rsidRDefault="00437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D57"/>
    <w:rsid w:val="00437906"/>
    <w:rsid w:val="00826143"/>
    <w:rsid w:val="00AC0D57"/>
    <w:rsid w:val="00EF257F"/>
    <w:rsid w:val="00FA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98C56"/>
  <w15:chartTrackingRefBased/>
  <w15:docId w15:val="{E021F29C-D24A-4A75-8B03-0A35F1B4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16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0D57"/>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FA16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0D57"/>
    <w:rPr>
      <w:rFonts w:eastAsia="Times New Roman" w:cs="Times New Roman"/>
      <w:b/>
      <w:bCs/>
      <w:sz w:val="36"/>
      <w:szCs w:val="36"/>
    </w:rPr>
  </w:style>
  <w:style w:type="character" w:styleId="Strong">
    <w:name w:val="Strong"/>
    <w:basedOn w:val="DefaultParagraphFont"/>
    <w:uiPriority w:val="22"/>
    <w:qFormat/>
    <w:rsid w:val="00AC0D57"/>
    <w:rPr>
      <w:b/>
      <w:bCs/>
    </w:rPr>
  </w:style>
  <w:style w:type="paragraph" w:styleId="NormalWeb">
    <w:name w:val="Normal (Web)"/>
    <w:basedOn w:val="Normal"/>
    <w:uiPriority w:val="99"/>
    <w:semiHidden/>
    <w:unhideWhenUsed/>
    <w:rsid w:val="00AC0D57"/>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AC0D57"/>
    <w:rPr>
      <w:color w:val="0000FF"/>
      <w:u w:val="single"/>
    </w:rPr>
  </w:style>
  <w:style w:type="paragraph" w:styleId="BalloonText">
    <w:name w:val="Balloon Text"/>
    <w:basedOn w:val="Normal"/>
    <w:link w:val="BalloonTextChar"/>
    <w:uiPriority w:val="99"/>
    <w:semiHidden/>
    <w:unhideWhenUsed/>
    <w:rsid w:val="00AC0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D57"/>
    <w:rPr>
      <w:rFonts w:ascii="Segoe UI" w:hAnsi="Segoe UI" w:cs="Segoe UI"/>
      <w:sz w:val="18"/>
      <w:szCs w:val="18"/>
    </w:rPr>
  </w:style>
  <w:style w:type="character" w:customStyle="1" w:styleId="Heading1Char">
    <w:name w:val="Heading 1 Char"/>
    <w:basedOn w:val="DefaultParagraphFont"/>
    <w:link w:val="Heading1"/>
    <w:uiPriority w:val="9"/>
    <w:rsid w:val="00FA16C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A16C6"/>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37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906"/>
  </w:style>
  <w:style w:type="paragraph" w:styleId="Footer">
    <w:name w:val="footer"/>
    <w:basedOn w:val="Normal"/>
    <w:link w:val="FooterChar"/>
    <w:uiPriority w:val="99"/>
    <w:unhideWhenUsed/>
    <w:rsid w:val="00437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276692">
      <w:bodyDiv w:val="1"/>
      <w:marLeft w:val="0"/>
      <w:marRight w:val="0"/>
      <w:marTop w:val="0"/>
      <w:marBottom w:val="0"/>
      <w:divBdr>
        <w:top w:val="none" w:sz="0" w:space="0" w:color="auto"/>
        <w:left w:val="none" w:sz="0" w:space="0" w:color="auto"/>
        <w:bottom w:val="none" w:sz="0" w:space="0" w:color="auto"/>
        <w:right w:val="none" w:sz="0" w:space="0" w:color="auto"/>
      </w:divBdr>
    </w:div>
    <w:div w:id="173658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sua-doi-Luat-Tiep-cong-dan-Luat-Khieu-nai-Luat-To-cao-2025-so-136-2025-QH15-686937.aspx" TargetMode="External"/><Relationship Id="rId3" Type="http://schemas.openxmlformats.org/officeDocument/2006/relationships/webSettings" Target="webSettings.xml"/><Relationship Id="rId7" Type="http://schemas.openxmlformats.org/officeDocument/2006/relationships/hyperlink" Target="https://thuvienphapluat.vn/van-ban/Tai-chinh-nha-nuoc/Quy-dinh-231-QD-TW-2025-bao-ve-dau-tranh-chong-tham-nhung-lang-phi-tieu-cuc-642467.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Luat-sua-doi-Luat-Tiep-cong-dan-Luat-Khieu-nai-Luat-To-cao-2025-so-136-2025-QH15-686937.asp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vanban.chinhphu.vn/?pageid=27160&amp;docid=1967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4228</Words>
  <Characters>24101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2026-09-07T23:35:00Z</cp:lastPrinted>
  <dcterms:created xsi:type="dcterms:W3CDTF">2026-09-07T23:34:00Z</dcterms:created>
  <dcterms:modified xsi:type="dcterms:W3CDTF">2026-09-24T00:45:00Z</dcterms:modified>
</cp:coreProperties>
</file>